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819A" w14:textId="4F9C8991" w:rsidR="00B82EA3" w:rsidRPr="00E43BDA" w:rsidRDefault="00B82EA3" w:rsidP="00636634">
      <w:pPr>
        <w:spacing w:before="100" w:beforeAutospacing="1" w:after="100" w:afterAutospacing="1"/>
        <w:ind w:right="237"/>
        <w:rPr>
          <w:rFonts w:ascii="Gill Sans MT" w:eastAsia="Times New Roman" w:hAnsi="Gill Sans MT" w:cs="Times New Roman"/>
          <w:b/>
          <w:bCs/>
          <w:smallCaps/>
          <w:color w:val="000000"/>
          <w:kern w:val="0"/>
          <w:lang w:eastAsia="en-GB"/>
          <w14:ligatures w14:val="none"/>
        </w:rPr>
      </w:pPr>
      <w:r w:rsidRPr="00E43BDA">
        <w:rPr>
          <w:rFonts w:ascii="Gill Sans MT" w:eastAsia="Times New Roman" w:hAnsi="Gill Sans MT" w:cs="Times New Roman"/>
          <w:b/>
          <w:bCs/>
          <w:smallCaps/>
          <w:color w:val="000000"/>
          <w:kern w:val="0"/>
          <w:lang w:eastAsia="en-GB"/>
          <w14:ligatures w14:val="none"/>
        </w:rPr>
        <w:t>Demencia y cuidados: ¿Más allá de la persona?</w:t>
      </w:r>
    </w:p>
    <w:p w14:paraId="7D47A5B1" w14:textId="4BA7E846" w:rsidR="00B82EA3" w:rsidRPr="00E43BDA" w:rsidRDefault="00721523" w:rsidP="00636634">
      <w:pPr>
        <w:spacing w:before="100" w:beforeAutospacing="1" w:after="100" w:afterAutospacing="1"/>
        <w:ind w:right="237"/>
        <w:rPr>
          <w:rFonts w:ascii="Gill Sans MT" w:eastAsia="Times New Roman" w:hAnsi="Gill Sans MT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E43BDA">
        <w:rPr>
          <w:rFonts w:ascii="Gill Sans MT" w:eastAsia="Times New Roman" w:hAnsi="Gill Sans MT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Coloquio o</w:t>
      </w:r>
      <w:r w:rsidR="00A952E6" w:rsidRPr="00E43BDA">
        <w:rPr>
          <w:rFonts w:ascii="Gill Sans MT" w:eastAsia="Times New Roman" w:hAnsi="Gill Sans MT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nline, 19</w:t>
      </w:r>
      <w:r w:rsidR="00F84DDC" w:rsidRPr="00E43BDA">
        <w:rPr>
          <w:rFonts w:ascii="Gill Sans MT" w:eastAsia="Times New Roman" w:hAnsi="Gill Sans MT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de junio de 2026</w:t>
      </w:r>
    </w:p>
    <w:p w14:paraId="32B69214" w14:textId="7A7DEF5B" w:rsidR="00721523" w:rsidRPr="00E43BDA" w:rsidRDefault="00721523" w:rsidP="00636634">
      <w:pPr>
        <w:spacing w:before="100" w:beforeAutospacing="1" w:after="100" w:afterAutospacing="1"/>
        <w:ind w:right="237"/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Organizado por Annette Leibing (Université de Montréal), Fernando Vidal (MARC-DAFITS-URV) y Federico Zilio (Università degli Studi di Padov</w:t>
      </w:r>
      <w:r w:rsidR="003B61E0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a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)</w:t>
      </w:r>
    </w:p>
    <w:p w14:paraId="42F65EC7" w14:textId="5824CEB7" w:rsidR="00721523" w:rsidRPr="00E43BDA" w:rsidRDefault="00721523" w:rsidP="00636634">
      <w:pPr>
        <w:tabs>
          <w:tab w:val="left" w:pos="567"/>
        </w:tabs>
        <w:ind w:right="-46"/>
        <w:rPr>
          <w:rFonts w:ascii="Gill Sans MT" w:hAnsi="Gill Sans MT"/>
          <w:sz w:val="20"/>
          <w:szCs w:val="20"/>
        </w:rPr>
      </w:pPr>
      <w:r w:rsidRPr="00E43BDA">
        <w:rPr>
          <w:rFonts w:ascii="Gill Sans MT" w:hAnsi="Gill Sans MT"/>
          <w:sz w:val="20"/>
          <w:szCs w:val="20"/>
        </w:rPr>
        <w:t xml:space="preserve">Actividad del proyecto </w:t>
      </w:r>
      <w:r w:rsidR="003B61E0">
        <w:rPr>
          <w:rFonts w:ascii="Gill Sans MT" w:hAnsi="Gill Sans MT"/>
          <w:sz w:val="20"/>
          <w:szCs w:val="20"/>
        </w:rPr>
        <w:t>“</w:t>
      </w:r>
      <w:r w:rsidRPr="003B61E0">
        <w:rPr>
          <w:rFonts w:ascii="Gill Sans MT" w:hAnsi="Gill Sans MT"/>
          <w:sz w:val="20"/>
          <w:szCs w:val="20"/>
        </w:rPr>
        <w:t>Human-Robot Interaction with older adults suffering from dementia: Sociocultural and gender differences and ethical and professional implications in the use of companion robots (MyRobot</w:t>
      </w:r>
      <w:r w:rsidRPr="00E43BDA">
        <w:rPr>
          <w:rFonts w:ascii="Gill Sans MT" w:hAnsi="Gill Sans MT"/>
          <w:sz w:val="20"/>
          <w:szCs w:val="20"/>
        </w:rPr>
        <w:t>),</w:t>
      </w:r>
      <w:r w:rsidR="003B61E0">
        <w:rPr>
          <w:rFonts w:ascii="Gill Sans MT" w:hAnsi="Gill Sans MT"/>
          <w:sz w:val="20"/>
          <w:szCs w:val="20"/>
        </w:rPr>
        <w:t>”</w:t>
      </w:r>
      <w:r w:rsidRPr="00E43BDA">
        <w:rPr>
          <w:rFonts w:ascii="Gill Sans MT" w:hAnsi="Gill Sans MT"/>
          <w:sz w:val="20"/>
          <w:szCs w:val="20"/>
        </w:rPr>
        <w:t xml:space="preserve"> coordinado por Blanca Deusdad y Fernando Vidal con apoyo del subsidio PID2023-147169NB-I00 del Ministerio de Ciencia e Innovación de España. En cooperación con el Medical Anthropology Research Center, Universitat Rovira i Virgili, Tarragona (MARC-DAFITS-URV).</w:t>
      </w:r>
    </w:p>
    <w:p w14:paraId="6F7B8EDF" w14:textId="535C1334" w:rsidR="00636634" w:rsidRPr="00E43BDA" w:rsidRDefault="00636634" w:rsidP="00636634">
      <w:pPr>
        <w:spacing w:before="100" w:beforeAutospacing="1" w:after="100" w:afterAutospacing="1"/>
        <w:ind w:right="237"/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Las nociones de “persona” e “identidad personal” han sido el núcleo filosófico y ético de los acercamientos antropológicos a la demencia y a sus efectos subjetivos e intersubjetivos. Lejos de ser mera teoría, las diferentes interpretaciones de esos conceptos tienen efectos prácticos. Prueba de ello es el énfasis </w:t>
      </w:r>
      <w:r w:rsidR="00473F40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habitual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en la pérdida de memoria, la idea común de que en la demencia avanzada “la persona desaparece” o la amplia difusión de la “atención centrada en la persona,” </w:t>
      </w:r>
      <w:r w:rsidR="00473F40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que se ha vuelto el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modelo </w:t>
      </w:r>
      <w:r w:rsidR="00473F40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preferente 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para los cuidados de los individuos con demencia. La mejor manera de entender la demencia y otras afecciones similares sigue siendo objeto de profundos debates en el ámbito de la atención sanitaria y </w:t>
      </w:r>
      <w:r w:rsidR="00473F40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de 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las ciencias humanas y de la salud, y plantea la pregunta central de este </w:t>
      </w:r>
      <w:r w:rsidR="00473F40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coloquio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: </w:t>
      </w:r>
    </w:p>
    <w:p w14:paraId="18BECB94" w14:textId="0E741DFE" w:rsidR="00636634" w:rsidRPr="00E43BDA" w:rsidRDefault="00636634" w:rsidP="00636634">
      <w:pPr>
        <w:spacing w:before="100" w:beforeAutospacing="1" w:after="100" w:afterAutospacing="1"/>
        <w:ind w:right="237"/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¿Es deseable o necesario pensar la demencia </w:t>
      </w:r>
      <w:r w:rsidR="00473F40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“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más allá de la persona</w:t>
      </w:r>
      <w:r w:rsidR="00473F40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”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? Si es así, ¿cómo y en qué términos? Si no, ¿qué concepción de la persona se ajusta mejor a la experiencia subjetiva e intersubjetiva de la demencia, así como a las exigencias de </w:t>
      </w:r>
      <w:r w:rsidR="00473F40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una práctica de cuidados ética y respetuosa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?</w:t>
      </w:r>
    </w:p>
    <w:p w14:paraId="6A94BD50" w14:textId="3A10A77D" w:rsidR="00636634" w:rsidRPr="00E43BDA" w:rsidRDefault="00636634" w:rsidP="00636634">
      <w:pPr>
        <w:spacing w:before="100" w:beforeAutospacing="1" w:after="100" w:afterAutospacing="1"/>
        <w:ind w:right="237"/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Estas son las preguntas fundamentales que pretende explorar</w:t>
      </w:r>
      <w:r w:rsidR="0091567D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este encuentro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. Lo hará de manera interdisciplinaria, reuniendo a filósofos, antropólogos médicos y profesionales de la salud. La demencia se caracteriza en gran medida por el deterioro de las funciones que han definido la persona y la identidad personal en la tradición liberal: la memoria, la autonomía individual y la conciencia de sí. Pero l</w:t>
      </w:r>
      <w:r w:rsidR="00DE52E5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os conceptos</w:t>
      </w:r>
      <w:r w:rsidR="0091567D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liberal</w:t>
      </w:r>
      <w:r w:rsidR="00DE52E5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es</w:t>
      </w:r>
      <w:r w:rsidR="0091567D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de la persona y de la identidad personal se ha</w:t>
      </w:r>
      <w:r w:rsidR="00DE52E5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n</w:t>
      </w:r>
      <w:r w:rsidR="0091567D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cuestionado 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y se han propuesto alternativas</w:t>
      </w:r>
      <w:r w:rsidR="0091567D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que las 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reconceptualizan como relacionales o encarnadas; </w:t>
      </w:r>
      <w:r w:rsidR="00DE52E5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ponen en relieve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la vulnerabilidad y la interdependencia</w:t>
      </w:r>
      <w:r w:rsidR="00DE52E5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más que la autonomía individual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; rechaza</w:t>
      </w:r>
      <w:r w:rsidR="0091567D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n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el esencialismo individualista en favor del constructivismo narrativo y social; y, en general, presta</w:t>
      </w:r>
      <w:r w:rsidR="0091567D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n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más atención a la dinámica fenomenológica de la experiencia de la demencia. El </w:t>
      </w:r>
      <w:r w:rsidR="002D7BF8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incipiente uso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de </w:t>
      </w:r>
      <w:r w:rsidR="00DE52E5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los 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robots de compañía en el cuidado de personas con demencia extiende estas cuestiones al ámbito de lo poshumano. </w:t>
      </w:r>
    </w:p>
    <w:p w14:paraId="13AB2BF3" w14:textId="0287CBF1" w:rsidR="00636634" w:rsidRPr="00E43BDA" w:rsidRDefault="00636634" w:rsidP="00636634">
      <w:pPr>
        <w:spacing w:before="100" w:beforeAutospacing="1" w:after="100" w:afterAutospacing="1"/>
        <w:ind w:right="237"/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Este </w:t>
      </w:r>
      <w:r w:rsidR="002D7BF8"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coloquio</w:t>
      </w:r>
      <w:r w:rsidRPr="00E43BDA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no pretende dar respuestas, sino plantear problemas abiertos; debatir posibilidades basadas en la reflexión filosófica, la visión etnográfica y la experiencia profesional; y fomentar el diálogo interdisciplinario.</w:t>
      </w:r>
    </w:p>
    <w:p w14:paraId="530C898C" w14:textId="3C1BCF26" w:rsidR="00636634" w:rsidRPr="00E43BDA" w:rsidRDefault="00636634" w:rsidP="00636634">
      <w:pPr>
        <w:spacing w:before="100" w:beforeAutospacing="1" w:after="100" w:afterAutospacing="1"/>
        <w:ind w:right="237"/>
        <w:rPr>
          <w:rFonts w:ascii="Gill Sans MT" w:eastAsia="Times New Roman" w:hAnsi="Gill Sans MT" w:cs="Times New Roman"/>
          <w:b/>
          <w:bCs/>
          <w:color w:val="000000"/>
          <w:kern w:val="0"/>
          <w:sz w:val="21"/>
          <w:szCs w:val="21"/>
          <w:lang w:eastAsia="en-GB"/>
          <w14:ligatures w14:val="none"/>
        </w:rPr>
      </w:pPr>
      <w:r w:rsidRPr="00E43BDA">
        <w:rPr>
          <w:rFonts w:ascii="Gill Sans MT" w:eastAsia="Times New Roman" w:hAnsi="Gill Sans MT" w:cs="Times New Roman"/>
          <w:b/>
          <w:bCs/>
          <w:color w:val="000000"/>
          <w:kern w:val="0"/>
          <w:sz w:val="21"/>
          <w:szCs w:val="21"/>
          <w:lang w:eastAsia="en-GB"/>
          <w14:ligatures w14:val="none"/>
        </w:rPr>
        <w:t>Resumen</w:t>
      </w:r>
    </w:p>
    <w:p w14:paraId="4D50A787" w14:textId="7602B930" w:rsidR="00EA3D82" w:rsidRPr="003F6482" w:rsidRDefault="00B82EA3" w:rsidP="00E43BDA">
      <w:pPr>
        <w:spacing w:before="100" w:beforeAutospacing="1" w:after="100" w:afterAutospacing="1"/>
        <w:ind w:right="237"/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3F6482">
        <w:rPr>
          <w:rFonts w:ascii="Gill Sans MT" w:eastAsia="Times New Roman" w:hAnsi="Gill Sans MT" w:cs="Times New Roman"/>
          <w:color w:val="000000"/>
          <w:kern w:val="0"/>
          <w:sz w:val="21"/>
          <w:szCs w:val="21"/>
          <w:lang w:eastAsia="en-GB"/>
          <w14:ligatures w14:val="none"/>
        </w:rPr>
        <w:t>Este coloquio interdisciplinario online de un día de duración reúne a filósofos, antropólogos médicos y profesionales de la salud para explorar cómo la demencia interpela las ideas y las prácticas de la persona y de los cuidados. Se pregunta si es deseable o necesario pensar en la demencia «más allá de la persona». Si es así, ¿cómo y en qué términos? Si no es así, ¿qué concepción de la persona se ajusta mejor a la experiencia subjetiva e intersubjetiva de la demencia, así como a las exigencias de los cuidados éticos y respetuosos? Dirigido a un público compuesto por filósofos, antropólogos médicos, profesionales de la salud y todas aquellas personas relacionadas con la demencia, el envejecimiento y la ética del cuidado, este encuentro no pretende dar respuestas, sino plantear problemas abiertos, debatir posibilidades basadas en la reflexión filosófica, los conocimientos etnográficos y la experiencia profesional, y fomentar el diálogo interdisciplinario.</w:t>
      </w:r>
    </w:p>
    <w:sectPr w:rsidR="00EA3D82" w:rsidRPr="003F6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A3"/>
    <w:rsid w:val="00052759"/>
    <w:rsid w:val="002D7BF8"/>
    <w:rsid w:val="003B61E0"/>
    <w:rsid w:val="003F6482"/>
    <w:rsid w:val="00473F40"/>
    <w:rsid w:val="00630CA1"/>
    <w:rsid w:val="00636634"/>
    <w:rsid w:val="00721523"/>
    <w:rsid w:val="00830F90"/>
    <w:rsid w:val="00862009"/>
    <w:rsid w:val="0091567D"/>
    <w:rsid w:val="00A952E6"/>
    <w:rsid w:val="00B82EA3"/>
    <w:rsid w:val="00D67E6D"/>
    <w:rsid w:val="00DE52E5"/>
    <w:rsid w:val="00E43BDA"/>
    <w:rsid w:val="00EA3D82"/>
    <w:rsid w:val="00F73417"/>
    <w:rsid w:val="00F8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4C9581"/>
  <w15:chartTrackingRefBased/>
  <w15:docId w15:val="{41AA8B53-D953-5A4D-B631-41B426B3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A3"/>
  </w:style>
  <w:style w:type="paragraph" w:styleId="Heading1">
    <w:name w:val="heading 1"/>
    <w:basedOn w:val="Normal"/>
    <w:next w:val="Normal"/>
    <w:link w:val="Heading1Char"/>
    <w:uiPriority w:val="9"/>
    <w:qFormat/>
    <w:rsid w:val="00B82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E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E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E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E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E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E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E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vidal</dc:creator>
  <cp:keywords/>
  <dc:description/>
  <cp:lastModifiedBy>Fernando vidal</cp:lastModifiedBy>
  <cp:revision>14</cp:revision>
  <cp:lastPrinted>2025-12-09T07:12:00Z</cp:lastPrinted>
  <dcterms:created xsi:type="dcterms:W3CDTF">2025-12-09T07:05:00Z</dcterms:created>
  <dcterms:modified xsi:type="dcterms:W3CDTF">2025-12-15T12:33:00Z</dcterms:modified>
</cp:coreProperties>
</file>